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drawing>
          <wp:inline>
            <wp:extent cx="4458324" cy="5058483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flipH="false" flipV="false" rot="0">
                      <a:ext cx="4458324" cy="505848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</w:pPr>
      <w:r>
        <w:drawing>
          <wp:inline>
            <wp:extent cx="3419954" cy="5344274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flipH="false" flipV="false" rot="0">
                      <a:ext cx="3419954" cy="534427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</w:pPr>
      <w:r>
        <w:drawing>
          <wp:inline>
            <wp:extent cx="3372322" cy="2581636"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 flipH="false" flipV="false" rot="0">
                      <a:ext cx="3372322" cy="2581636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media/2.png" Type="http://schemas.openxmlformats.org/officeDocument/2006/relationships/image"/>
  <Relationship Id="rId3" Target="media/3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2022-11-25T06:24:52Z</dcterms:modified>
</cp:coreProperties>
</file>