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6" w:rsidRPr="007B4DFA" w:rsidRDefault="00D112BE" w:rsidP="00D11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Оценка физического развития ребенка методами антропометрии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Рост, масса, последовательность в увеличении различных частей тела, его пропорции запрограммированы наследственными механизмами и при оптимальных условиях жизнедеятельности идут в определенной последовательности. Однако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некоторые факторы могут не только нарушить последовательность развития, но и вызвать необратимые изменения. К таким факторам можно отнести как внешние – неблагоприятное внутриутробное развитие, социальные условия, нерациональное питание, малоподвижный образ жизни, вредные привычки, режим труда и отдыха, экологические, так и внутренние – наследственность и наличие заболеваний.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      Физическое развитие − это процесс количественного и качественного изменения всех показателей организма человека в процессе его жизнедеятельности.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      Основы современных антропометрических (antropos-человек, metria-измерение) методов исследования заложены в прошлом веке, когда были записаны закономерности изменчивости антропометрических показателей.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      Исследуя антропометрические показатели (рост или длину тела, вес или массу тела), можно наглядно и просто оценить физическое развитие.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      Общее представление о физическом развитии получают при проведении основных  измерений, определяя − длину и массу тела.                   Известно, что здоровье определяется не только наличием или отсутствием заболеваний, но и гармоничным развитием, нормальным уровнем основных функциональных показателей.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Поэтому одним из основных направлений в работе укрепления здоровья средствами физкультуры является врачебное наблюдение за влиянием физкультуры и спорта на физическое состоящие человека.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Согласно программе, разработанной Международным комитетом по стандартизации тестов физической готовности, определение работоспособности должно проходить по четырем направлениям: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1) медицинский осмотр;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2) определение физиологических реакций разных систем организма на физическую нагрузку;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3) определение телосложения и состав тела в корреляции с физической работоспособностью;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4) определение способности к выполнению физических нагрузок и движений в комплексе упражнений, совершение которых зависит от разных систем организма.</w:t>
      </w:r>
    </w:p>
    <w:p w:rsid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Основными методами исследования физического развития человека являются внешний осмотр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соматоскопия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 и измерения — антропометрия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соматометрия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FA">
        <w:rPr>
          <w:rFonts w:ascii="Times New Roman" w:hAnsi="Times New Roman" w:cs="Times New Roman"/>
          <w:b/>
          <w:sz w:val="24"/>
          <w:szCs w:val="24"/>
        </w:rPr>
        <w:t>Наружный осмотр (</w:t>
      </w:r>
      <w:proofErr w:type="spellStart"/>
      <w:r w:rsidRPr="007B4DFA">
        <w:rPr>
          <w:rFonts w:ascii="Times New Roman" w:hAnsi="Times New Roman" w:cs="Times New Roman"/>
          <w:b/>
          <w:sz w:val="24"/>
          <w:szCs w:val="24"/>
        </w:rPr>
        <w:t>соматоскопия</w:t>
      </w:r>
      <w:proofErr w:type="spellEnd"/>
      <w:r w:rsidRPr="007B4DFA">
        <w:rPr>
          <w:rFonts w:ascii="Times New Roman" w:hAnsi="Times New Roman" w:cs="Times New Roman"/>
          <w:b/>
          <w:sz w:val="24"/>
          <w:szCs w:val="24"/>
        </w:rPr>
        <w:t>)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>При исследовании физического развития человека наряду с данными, полученными инструментальными методами, учитывают и описательные показатели.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Начинают осмотр с оценки кожного покрова, затем формы грудной клетки, живота, ног, степени развития мускулатуры, жироотложений, состояния опорно-двигательного аппарата и других параметров (показателей).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ожа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описывается как гладкая, чистая, влажная, сухая, упругая, вялая,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угристая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бледная,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гиперемированная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Состояние опорно-двигательного аппарата (ОДА) оценивается по общему впечатлению: массивности, ширине плеч, осанке и пр.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Позвоночник — выполняет основную опорную функцию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рис. Скелет человека).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Его осматривают в сагиттальной и фронтальной плоскостях, определяют форму линии, образованной остистыми отростками позвонков, обращают внимание на симметричность лопаток и уровень плеч, состояние треугольника талии, образуемого линией талии и опущенной рукой (см. рис. Определение искривления позвоночника).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Осанка — привычная поза непринужденно стоящего человека. Зависит она от формы позвоночника, равномерности развития и тонуса мускулатуры торса. Различают осанку правильную, сутуловатую,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кифотическую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лордотичесную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 выпрямленную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рис. Виды осанки). Для определения осанки проводят визуальные наблюдения над положением лопаток, уровнем плеч, положением головы.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того, включают инструментальные исследования (определение глубины шейного и поясничного изгибов и длины позвоночника).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Нормальная осанка характеризуется пятью признаками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. рис. Определение искривления позвоночника; Нормальная осанка):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1 — расположением остистых отростков позвонков по линии отвеса, опущенного от бугра затылочной кости и проходящего вдоль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межягодичной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складки;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2 — расположением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наплечий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на одном уровне;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3 — расположением обеих лопаток на одном уровне;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4 — равными треугольниками (справа и слева), образуемыми туловищем и свободно опущенными руками;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5 — правильными изгибами позвоночника в сагиттальной плоскости (глубиной до 5 см в поясничном отделе и до 2 см — в шейном).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При ряде заболеваний (сколиоз, кифоз и др.) происходит изменение осанки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рис. Нормальная осанка). Нередко занятия соответствующим видом спорта, ранняя специализация (гимнастика, штанга и др.) ведут к расстройству функции позвоночника и мышечному дисбалансу, что отрицательно сказывается на функции внутренних органов и работоспособности человека в целом.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При определении формы ног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обследуемый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соединяет пятки вместе и стоит, выпрямившись.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 xml:space="preserve">В норме ноги соприкасаются в области коленных суставов, при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О-образной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форме коленные суставы не касаются, при Х-образной — один коленный сустав заходит за другой (см. рис. Форма ног).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Стопа — орган опоры и передвижения. Различают стопу нормальную, уплощенную и плоскую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рис. Внешний вид стоп и их отпечатков). При осмотре стопы опорной поверхности обращают </w:t>
      </w: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на ширину перешейка, соединяющего область пятки с передней частью стопы.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того, обращают внимание на вертикальные оси ахиллова сухожилия и пятки при нагрузке.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Помимо осмотра, можно получить отпечатки стопы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плантография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). Степень уплощения стопы рассчитывают по методу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Штритер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(см. рис. Внешний вид стоп и их отпечатков).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Осмотр грудной клетки нужен для определения ее формы, симметричности в дыхании обеих половин грудной клетки и типа дыхания.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Форма грудной клетки, соответственно конституциональным типам, бывает трех видов: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астеническая и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гиперстеническая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Чаще грудная клетка бывает смешанной формы.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форма грудной клетки характеризуется пропорциональностью соотношения между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передне-задними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 поперечными ее размерами,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- и подключичные пространства умеренно выражены. Лопатки плотно прилегают к грудной клетке, межреберные пространства выражены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. Надчревный угол приближается к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прямому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и равен приблизительно 90°.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Астеническая форма грудной клетки — достаточно плоская, потому что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передне-задний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размер уменьшен по отношению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поперечному.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- и подключичные пространства западают, лопатки отстоят от грудной клетки.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рай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Х ребра свободен и легко определяется при пальпации. Надчревный угол острый — меньше 90°.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Гиперстеническая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форма грудной клетки.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Передне-задний</w:t>
      </w:r>
      <w:proofErr w:type="spellEnd"/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диаметр ее более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нормостенической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и поэтому поперечный разрез приближается к кругу. Межреберные промежутки узкие,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- и подключичные пространства слабо выражены. Надчревный угол тупой — больше 90°.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Патологические формы грудной клетки развиваются под влиянием болезненных процессов в органах грудной полости или при деформации скелета. У физкультурников нередко встречается воронкообразная грудная клетка, рахитическая, ладьевидная и др.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На форму грудной клетки могут влиять также различные виды искривления позвоночника. Так,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кифозное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искривление позвоночника нередко сочетается с одновременным сколиозом и носит название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кифосколиоза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а грудная клетка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кифосколиотической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При исследовании грудной клетки необходимо также обратить внимание на тип дыхания, его частоту, глубину и ритм. Различают следующие типы дыхания: грудной, брюшной и смешанный. Если дыхательные движения выполняются в основном за счет сокращения межреберных мышц, то говорят о грудном, или реберном, типе дыхания. Он присущ в основном женщинам. Брюшной тип дыхания характерен для мужчин. Смешанный тип, при котором в дыхании участвуют нижние отделы грудной клетки и верхняя часть живота, характерен для спортсменов.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Развитие мускулатуры характеризуются количеством мышечной ткани, ее упругостью, рельефностью и др. О развитии мускулатуры дополнительно судят по положению лопаток, форме живота и др. Развитость мускулатуры в значительной мере определяет силу, выносливость человека и вид спорта, которым он занимается.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Степень полового развития — важная часть характеристики физического развития школьников и определяется по совокупности вторичных половых признаков: волосистости на лобке и в подмышечной области, кроме того, у девочек — по развитию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молочный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железы и времени появления менструаций, у юношей — по развитию волосяного покрова на лице, кадыке и мутации голоса.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Телосложение определяется размерами, формами, пропорцией (соотношением одних размеров тела с другими) и особенностями взаимного расположения частей тела. На телосложение влияет вид спорта, питание, окружающая среда (климатические условия) и другие факторы.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онституция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— это особенности телосложения человека. М.В.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Черноруцкий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выделяет три типа конституции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рис. Типы телосложения):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астенический и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Автор учитывает как морфологические, так и функциональные особенности индивидуума.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гиперстеническом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типе телосложения преобладают поперечные размеры тела, голова округлой формы, лицо широкое, шея короткая и толстая, грудная клетка широкая и короткая, живот большой, конечности короткие и толстые, кожа плотная.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Астенический тип телосложения характеризуется преобладанием продольных размеров тела. У астеников узкое лицо, длинная и тонкая шея, длинная и плоская грудная клетка, небольшой живот, тонкие конечности, слаборазвитая мускулатура, тонкая бледная кожа.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тип телосложения характеризуется пропорциональным телосложением.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Замечена зависимость конституционального типа человека и подверженности его тем или иным заболеваниям. Так, у астеников чаще встречаются туберкулез, заболевания желудочно-кишечного тракта, у гиперстеников — болезнь обмена веществ, печени, гипертоническая болезнь и др.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Conrad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(1963), основываясь на морфологических признаках, выделяет следующие типы телосложения у спортсменов: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лептоморф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ателтоморф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пикноморф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метроморф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(в зависимости от степени проявления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долих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брахиморфизма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Следует заметить, что четко выраженные типы телосложения у спортсменов встречаются редко. Чаще бывают различные комбинированные формы с преобладанием признаков того или иного типа телосложения. Однако существуют характерные типы телосложения для отдельных видов спорта.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Так, баскетболисты — высокорослые, тяжелоатлеты, метатели — массивные, в спортивной гимнастике преобладают низкорослые и т.д.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FA">
        <w:rPr>
          <w:rFonts w:ascii="Times New Roman" w:hAnsi="Times New Roman" w:cs="Times New Roman"/>
          <w:b/>
          <w:sz w:val="24"/>
          <w:szCs w:val="24"/>
        </w:rPr>
        <w:t>Антропометрия (</w:t>
      </w:r>
      <w:proofErr w:type="spellStart"/>
      <w:r w:rsidRPr="007B4DFA">
        <w:rPr>
          <w:rFonts w:ascii="Times New Roman" w:hAnsi="Times New Roman" w:cs="Times New Roman"/>
          <w:b/>
          <w:sz w:val="24"/>
          <w:szCs w:val="24"/>
        </w:rPr>
        <w:t>соматометрия</w:t>
      </w:r>
      <w:proofErr w:type="spellEnd"/>
      <w:r w:rsidRPr="007B4DFA">
        <w:rPr>
          <w:rFonts w:ascii="Times New Roman" w:hAnsi="Times New Roman" w:cs="Times New Roman"/>
          <w:b/>
          <w:sz w:val="24"/>
          <w:szCs w:val="24"/>
        </w:rPr>
        <w:t>)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Уровень физического развития определяют совокупностью методов, основанных на измерениях морфологических и функциональных признаков. Различают основные и дополнительные антропометрические показатели. K первым относят рост, массу тела, окружность грудной клетки (при максимальном вдохе, паузе и максимальном выдохе), силу кистей и становую силу (силу мышц спины).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того, к основным показателям физического развития относят определение соотношения «активных» и «пассивных» тканей тела (тощая масса, общее количество жира) и других показателей состава тела. K дополнительным антропометрическим показателям относят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сидя, окружность шеи, размер живота, талии, бедра и голени, плеча, сагиттальный и фронтальный диаметры грудной клетки, длину рук и др. Таким образом, антропометрия включает в себя определение длины, диаметров, окружностей и др.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стоя и сидя измеряется ростомером (см. рис. Измерение роста в положении стоя и сидя). При измерении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роста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стоя пациент становится спиной к вертикальной стойке, касаясь ее пятками, ягодицами и межлопаточной областью. Планшетку опускают до соприкосновения с головой.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При измерении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роста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сидя пациент садится на скамейку, касаясь вертикальной стойки ягодицами и межлопаточной областью.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>Измерение роста в положении сидя при сопоставлении с другими продольными размерами дает представление о пропорциях тела. С помощью антропометра определяют и длину отдельных частей тела: верхней и нижней конечностей, длину туловища. Проводить эти измерения помогают принятые в антропологии анатомические точки на теле человека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. рис. Антропометрические точки). Для определения любого продольного размера нужно знать расположение верхней и нижней антропометрических точек, ограничивающих данный размер. Разность между их высотой и составляет искомую величину.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Длина тела может существенно изменяться под влиянием физических нагрузок. Так, в баскетболе, волейболе, прыжках в высоту и т.п. рост тела в длину ускоряется, в то время как при занятиях тяжелой атлетикой, спортивной гимнастикой, акробатикой — замедляется. Поэтому рост является ориентиром при отборе для занятий тем или иным видом спорта. Зная длину тела стоя и сидя, можно найти коэффициент пропорциональности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П) тела.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П = ((L1 — L2) / 2)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где: L1 — длина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стоя, L2 — длина тела сидя.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В норме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П = 87—92%, у женщин он несколько ниже, чем у мужчин.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Масса тела определяется взвешиванием на рычажных медицинских весах. Масса тела суммарно выражает уровень развития костно-мышечного аппарата, подкожно-жирового слоя и внутренних органов.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Окружности головы, груди, плеча, бедра, голени измеряют сантиметровой лентой (см. рис. Измерение окружностей).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Мышечная сила рук характеризует степень развития мускулатуры и измеряется ручным динамометром (в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). Производят 2—3 измерения, записывают наибольший показатель. Показатель зависит от возраста, пола и вида спорта, которым занимается обследуемый.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Становая сила определяет силу разгибательных мышц спины и измеряется становым динамометром.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 xml:space="preserve">Противопоказания для измерения становой силы: грыжи (паховая и пупочная, грыжа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Шморля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 др., менструация, беременность, гипертоническая болезнь, миопия (-5 и более) и др. 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измерения диаметров применяют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толстонные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циркули (большие и малые). Отсчет по шкале ведется во время фиксации циркуля в установленном положении.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Исследования физического развития лиц, занимающихся физкультурой и спортом, имеют следующие задачи: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- оценка воздействия на организм систематических занятий физкультурой и спортом;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- отбор детей, подростков для занятий тем или иным видами спорта;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- контроль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за формированием определенных особенностей физического развития у спортсменов на их пути от новичка до мастера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спорта.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K настоящему времени разработано большое количество схем, шкал, типов, классификаций (В.В.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Бунак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Черноруцкий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В.П. Чтецов и др.) для определения и характеристики общих размеров, пропорций тела, конституции и других соматических особенностей человека.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появились оценочные индексы, выведенные путем сопоставления разных антропометрических признаков. Поскольку такие оценки не имеют анатомо-физиологического обоснования, они применяются только при массовых обследованиях населения, для отбора в секции и пр.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Оценочные индексы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Брока-Бругша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: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рост — 100 при росте 155—165 см,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рост — 105, при росте 166—175 см,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   рост — 110 при росте 175 и выше.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Жизненный индекс =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(мл) / вес (кг)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Средняя величина показателя для мужчин — 65—70 мл/кг, для женщин — 55—60 мл/кг, для спортсменов — 75—80 мл/кг, для спортсменок — 65—70 мл/кг.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Разностный индекс определяется путем вычитания из величины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роста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сидя длины ног. Средний показатель для мужчин — 9—10 см, для женщин — 11—12 см. Чем меньше индекс, тем, следовательно, больше длина ног, и наоборот.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Весо-ростовой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индекс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етле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: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вес (г) / рост (см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Средний показатель — 370—400 г на 1 см роста у мужчин, 325—375 — у женщин. Для мальчиков 15 лет — 325 г на 1 см, для девочек того же возраста — 318 г на 1 см роста.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скелии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Мануврие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характеризует длину ног.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ИС = (длина ног /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сидя)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 xml:space="preserve">Величина до 84,9 свидетельствует о коротких ногах, 85—89 — о средних, 90 и выше — о длинных. </w:t>
      </w:r>
      <w:proofErr w:type="gramEnd"/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Масса тела (вес) для взрослых рассчитывается по формуле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Бернгарда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Вес = (рост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объем груди) / 240</w:t>
      </w:r>
    </w:p>
    <w:p w:rsidR="00D112BE" w:rsidRP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Формула дает возможность учитывать особенности телосложения. </w:t>
      </w:r>
    </w:p>
    <w:p w:rsidR="007B4DFA" w:rsidRDefault="00D112BE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Если расчет производится по формуле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, то после расчетов из результата следует вычесть около 8%: рост — 100 — 8%.</w:t>
      </w:r>
    </w:p>
    <w:p w:rsidR="00D112BE" w:rsidRPr="007B4DFA" w:rsidRDefault="007B4DFA" w:rsidP="00D112BE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626745</wp:posOffset>
            </wp:positionV>
            <wp:extent cx="5819140" cy="3248025"/>
            <wp:effectExtent l="19050" t="0" r="0" b="0"/>
            <wp:wrapThrough wrapText="bothSides">
              <wp:wrapPolygon edited="0">
                <wp:start x="-71" y="0"/>
                <wp:lineTo x="-71" y="21537"/>
                <wp:lineTo x="21567" y="21537"/>
                <wp:lineTo x="21567" y="0"/>
                <wp:lineTo x="-7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553" t="34469" r="22394" b="22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D112BE" w:rsidRPr="007B4DFA">
        <w:rPr>
          <w:rFonts w:ascii="Times New Roman" w:hAnsi="Times New Roman" w:cs="Times New Roman"/>
          <w:sz w:val="24"/>
          <w:szCs w:val="24"/>
        </w:rPr>
        <w:t>Весо-ростовой</w:t>
      </w:r>
      <w:proofErr w:type="spellEnd"/>
      <w:proofErr w:type="gramEnd"/>
      <w:r w:rsidR="00D112BE" w:rsidRPr="007B4DFA">
        <w:rPr>
          <w:rFonts w:ascii="Times New Roman" w:hAnsi="Times New Roman" w:cs="Times New Roman"/>
          <w:sz w:val="24"/>
          <w:szCs w:val="24"/>
        </w:rPr>
        <w:t xml:space="preserve"> показатель определяется делением веса в граммах на рост в сантиметрах: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Жизненный показатель = ЖЕЛ (мл) / на массу тела (кг)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Чем выше показатель, тем лучше развита дыхательная функция грудной клетки.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(1980) предложил метод определения жировой прослойки у спортсменов.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Процент жировой прослойки = [(масса тела — тощая масса тела) / масса тела]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Тощая масса тела = 98,42 + [1,082 (масса тела) — 4,15 (обхват талии)]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Согласно формуле Лоренца, идеальная масса тела (М) составляет: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М =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— (100 — [(Р — 150) / 4])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— рост человека.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Индекс пропорциональности развития грудной клетки (индекс Эрисмана):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обхват грудной клетки в паузе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 — (рост (см) / 2) = +5,8 см для мужчин и +3,3 см для женщин.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Полученная разница, если она равна или выше названных цифр, указывает на хорошее развитие грудной клетки. Разница ниже, или с отрицательным значением свидетельствует об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узкогрудии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Есть определенная зависимость между массой тела и мышечной силой. Обычно чем больше мышечная масса, тем больше сила:</w:t>
      </w:r>
    </w:p>
    <w:p w:rsidR="007B4DFA" w:rsidRPr="007B4DFA" w:rsidRDefault="0078788F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r w:rsidR="007B4DFA" w:rsidRPr="007B4DFA">
        <w:rPr>
          <w:rFonts w:ascii="Times New Roman" w:hAnsi="Times New Roman" w:cs="Times New Roman"/>
          <w:sz w:val="24"/>
          <w:szCs w:val="24"/>
        </w:rPr>
        <w:t>[сила кисти (</w:t>
      </w:r>
      <w:proofErr w:type="gramStart"/>
      <w:r w:rsidR="007B4DFA"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B4DFA" w:rsidRPr="007B4DFA">
        <w:rPr>
          <w:rFonts w:ascii="Times New Roman" w:hAnsi="Times New Roman" w:cs="Times New Roman"/>
          <w:sz w:val="24"/>
          <w:szCs w:val="24"/>
        </w:rPr>
        <w:t xml:space="preserve">) / масса тела (кг)] </w:t>
      </w:r>
      <w:proofErr w:type="spellStart"/>
      <w:r w:rsidR="007B4DFA"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B4DFA"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Динамометрия руки в среднем составляет 65—80% массы тела у мужчин и 48—50% у женщин.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Показатель крепости телосложения (по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Пинье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 выражает разницу между ростом стоя и суммой массы тела и окружностью грудной клетки: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Х =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— (В+О)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где: Х — индекс,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— рост (см), В — масса тела (кг), О — окружность груди в фазе выдоха (см). Чем меньше разность, тем лучше показатель (при отсутствии ожирения).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Разность меньше 10 оценивается как крепкое телосложение, от 10 до 20 — хорошее, от 21 до 25 — среднее, от 25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35 — слабое, более 36 — очень слабое.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Показатель пропорциональности физического развития =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стоя — рост сидя / рост сидя)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Величина показателя позволяет судить об относительной длине ног: меньше 87% — малая длина по отношению к длине туловища, 87—92% — пропорциональное физическое развитие, более 92% — относительно большая длина ног.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Показатель развития силы мышц спины = [становая динамометрия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) / вес (кг)]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Малая сила спины — меньше 175% своего веса, сила ниже средней — от 175 до 190%, средняя сила — от 190 до 210%, сила выше средней — от 210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225%,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сила — свыше 225% своего веса.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Определение абсолютной мышечной массы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определения абсолютной мышечной массы используют формулу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Matiegka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(1921):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M = L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r2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где: М — абсолютная масса мышечной ткани (кг), L — длина тела (см),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— среднее значение радиуса плеча (а), предплечья (б), бедра (в) и голени (г) без подкожного жира и кожи (см);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— константа, равная 6,5.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Радиусы сегментов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экстремитатов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 рассчитывают по результатам измерения соответствующих обхватов с вычетом средней толщины подкожного жира:</w:t>
      </w:r>
    </w:p>
    <w:p w:rsidR="007B4DFA" w:rsidRPr="007B4DFA" w:rsidRDefault="0078788F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r w:rsidR="007B4DFA" w:rsidRPr="007B4DFA">
        <w:rPr>
          <w:rFonts w:ascii="Times New Roman" w:hAnsi="Times New Roman" w:cs="Times New Roman"/>
          <w:sz w:val="24"/>
          <w:szCs w:val="24"/>
        </w:rPr>
        <w:t xml:space="preserve">(сумма обхватов а, б, в, </w:t>
      </w:r>
      <w:proofErr w:type="gramStart"/>
      <w:r w:rsidR="007B4DFA" w:rsidRPr="007B4D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B4DFA" w:rsidRPr="007B4DFA">
        <w:rPr>
          <w:rFonts w:ascii="Times New Roman" w:hAnsi="Times New Roman" w:cs="Times New Roman"/>
          <w:sz w:val="24"/>
          <w:szCs w:val="24"/>
        </w:rPr>
        <w:t xml:space="preserve"> / 25,12) — (сумма толщины жировых складок (а) спереди, (б, в, г) сзади / 100)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Для определения тощей массы тела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ВМ) пользуются формулами: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ВМ для мужчин = 0,676L — 56,6 ± 6,7 кг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ВМ для женщин = 0,328W + 21,7 ± 4,2 кг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где: L — длина тела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), W — масса тела (кг).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Сила мышц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Силу мышц определяют по максимальному проявлению усилия, которое может развить группа мышц в определенных условиях. Обычно одновременно сокращается целая группа мышц, поэтому трудно точно определить работу каждой отдельной мышцы в суммарном проявлении силы.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того, в действии мышц участвуют костные рычаги.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Различают три вида мышечного сокращения: изометрическое, концентрическое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миометрическое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 и эксцентрическое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илиометрическое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). Сокращение мышцы, при котором она развивает напряжение, но не изменяет своей длины, называется изометрическим. Такое сокращение проявляется в виде статической силы. Мерой концентрической силы является максимальное сопротивление, которое мышцы способны преодолевать на пути соответствующего движения. Эта разновидность силы обозначается как динамическая. Эксцентричная сила возникает при сопротивлении внешней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под влиянием которой мышцы растягиваются, то есть длина их увеличивается. Для большинства </w:t>
      </w: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видов мышечной работы характерен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ауксотонический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режим, в котором сочетается сокращение и напряжение.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Определение динамической силы весьма сложно, поэтому обычно ограничиваются измерением статической (изометрической) силы и выносливости мышц.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1876425</wp:posOffset>
            </wp:positionV>
            <wp:extent cx="6218555" cy="2838450"/>
            <wp:effectExtent l="19050" t="0" r="0" b="0"/>
            <wp:wrapThrough wrapText="bothSides">
              <wp:wrapPolygon edited="0">
                <wp:start x="-66" y="0"/>
                <wp:lineTo x="-66" y="21455"/>
                <wp:lineTo x="21571" y="21455"/>
                <wp:lineTo x="21571" y="0"/>
                <wp:lineTo x="-6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553" t="31263" r="21913" b="3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DFA">
        <w:rPr>
          <w:rFonts w:ascii="Times New Roman" w:hAnsi="Times New Roman" w:cs="Times New Roman"/>
          <w:sz w:val="24"/>
          <w:szCs w:val="24"/>
        </w:rPr>
        <w:t>Мужчины достигают максимума изометрической силы в возрасте около 30 лет, потом сила уменьшается. Этот процесс быстрее идет в крупных мышцах нижних конечностей и туловища. Сила рук сохраняется дольше. В таблице "Средние значения изометрической силы некоторых мышечных групп" приведены показатели силы различных мышечных групп, полученных при обследовании около 600 человек (средний рост мужчин 171 см, женщин — 167 см).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Динамическую силу можно измерить, например, методом поднятия тяжести. Сила идентичных групп мышц у разных людей неодинакова. Показатели силы у взрослых женщин ниже на 30—35% по сравнению с мужчинами.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Сила измеряется динамометрами различной конструкции.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определения силы кисти обычно используют динамометр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оллена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. Силу разгибателей туловища измеряют с помощью станового динамометра. Для более полного представления о мышечной системе следует дополнительно измерять силу мышц плеча и плечевого пояса,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разгибаталей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бедра и голени, а также сгибателей туловища. С этой целью используют универсальные динамометрические установки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. рис. Динамометрическая установка для измерения силы разных мышечных групп).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Сила и выносливость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Сила и выносливость — качества, которыми в значительной мере определяется морфофункциональное состояние спортсмена. Вопрос о силе мышц и их выносливости имеет большое значение. Недостаточное развитие мышечной силы и выносливости лимитирует локомоторные возможности спортсмена.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исследования силы различных мышц и работоспособности предложено много приборов (динамометры, динамографы, эргографы и др.) разных конструкций.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Основным методом определения силы мышц является динамометрия.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>Отмечено, что развитие мышечной силы происходит к 25—35 годам, после чего начинается ее снижение.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Установлено также, что сила мышц в течение дня колеблется и что максимальное проявление мышечной силы наблюдается при внешней температуре +20°. Выносливость — это способность к длительному выполнению работы. Она развивается, как и другие качества (сила, быстрота, ловкость), тренировками (физическими упражнениями) и имеет важнейшее значение для преодоления утомления, которое возникает во время выполнения работы.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физического развития считают площадь поверхности тела, которая определяется формулой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Issakson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(1958) для лиц с суммой веса и длины тела больше 160 единиц: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S = [100 + W + (H — 160)] / 100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где: S — площадь поверхности тела (м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), W — вес тела (г), H — длина тела (см).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низкорослых людей с суммой веса и длины тела меньше 160 единиц используют формулу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Бойда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Boyd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1935):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S = 3,207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H0,3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W0,7285 — 0,0188logW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где: S — площадь тела (см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), H — длина тела (см), W — вес тела в граммах.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Площадь поверхности тела целесообразно рассматривать не в абсолютных значениях, а в относительных, в соотношении с массой (весом) тела (количество веса, приходящееся на единицу поверхности.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 xml:space="preserve">У физически сильных людей на единицу площади поверхности тела приходится больше веса, чем у физически слабых (В.Б.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Бунак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, 1940; П.Н. Башкиров, 1958 и др.). </w:t>
      </w:r>
      <w:proofErr w:type="gramEnd"/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Измерение показателей силы мышц. Для сопоставления индивидуальных значений силы отдельных мышечных групп у людей, отличающихся особенностями телосложения, рекомендуется рассчитывать силу мышц относительно веса тела.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Относительная сила мышц рассчитывается по формуле: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отн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proofErr w:type="gramStart"/>
      <w:r w:rsidRPr="007B4DF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/ W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Fотн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— относительная сила (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Fабс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. — абсолютная сила (кг), W — вес тела (кг).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Тесты и оценки силовых показателей и подвижности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Оценку скоростно-силовых показателей можно осуществить с помощью комплекса простых упражнений: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Прыжки в джинну с места (в см).</w:t>
      </w:r>
      <w:proofErr w:type="gramEnd"/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2. Впрыгивание на стул, отталкиваясь двумя ногами от пола (количество раз).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3. Сгибание и разгибание рук в упоре на полу (число отжиманий за 15 с).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4. Подъем ног под прямым углом из виса на прямых руках на гимнастической стенке (количество раз за 15 с).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5. Подтягивание на перекладине (количество раз за 10 с).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6. Поднимание туловища под прямым углом (ноги фиксирует партнер) из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лежа на спине (количество раз за 30 с).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>7. Поднимание туловища (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) из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лежа на животе, руки вдоль туловища (количество раз за 15 с).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В результате оценки показателей каждого упражнения получают комплексную скоростно-силовую величину.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Оценка силы. Для оценки силовой выносливости рекомендуются следующие упражнения: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1. Приседания (количество приседаний).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2. Выпрыгивание из приседа в высоту (количество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выпрыгиваний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3. Подтягивание (количество раз).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4. Отжимы от пола (количество раз).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5. Из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лежа на спине переход в положение сидя (количество раз).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6. Из виса на гимнастической стенке подъем прямых ног под прямым углом (количество раз).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Установлена линейная зависимость количества повторений и мышечной силы.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Росто-весовой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индекс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Хоске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рассчитывают по формуле:</w:t>
      </w:r>
    </w:p>
    <w:p w:rsidR="007B4DFA" w:rsidRPr="007B4DFA" w:rsidRDefault="0078788F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r w:rsidR="007B4DFA" w:rsidRPr="007B4DFA">
        <w:rPr>
          <w:rFonts w:ascii="Times New Roman" w:hAnsi="Times New Roman" w:cs="Times New Roman"/>
          <w:sz w:val="24"/>
          <w:szCs w:val="24"/>
        </w:rPr>
        <w:t>(масса тела (</w:t>
      </w:r>
      <w:proofErr w:type="gramStart"/>
      <w:r w:rsidR="007B4DFA"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B4DFA" w:rsidRPr="007B4D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4DFA"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B4DFA" w:rsidRPr="007B4DFA">
        <w:rPr>
          <w:rFonts w:ascii="Times New Roman" w:hAnsi="Times New Roman" w:cs="Times New Roman"/>
          <w:sz w:val="24"/>
          <w:szCs w:val="24"/>
        </w:rPr>
        <w:t xml:space="preserve"> 100) / (рост (см))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Тесты для оценки подвижности в суставах (гибкость).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Подвижность в суставах (гибкость) — это способность выполнять движения с большим размахом колебаний (с большой амплитудой). Подвижность в суставе (суставах) определяется эластичностью его мышц, сухожилий, связок, возрастом, полом, а также наследственными факторами. Измеряют подвижность гониометром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Гамбурцева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отбора в секции гимнастики, акробатики и другие виды спорта, где гибкость играет важную роль, используют тест-шпагат — продольный и поперечный. За спиной обследуемого устанавливают штатив, планка которого накладывается на голову. Измеряют расстояние от пола до паховой области (в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У гимнастической стенки спортсмен берется руками за рейку на уровне плеч и отводит (поднимает) ногу назад. Измеряют расстояние от пола до голеностопного сустава (в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). Еще тест-мостик. Спортсмен в положении лежа на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подтягивает стопы вплотную к ягодицам, руками опирается на уровне плеч и вытягивается вверх. Измеряются расстояние между ладонями и пятками (в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>) и от пола до спины (в см).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Определение содержания воды в массе тела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организме взрослого человека вода составляет 60—70% всей массы тела. При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чем больше содержание жирового компонента, тем меньше содержание воды. И, наоборот, чем выше процент активной массы тела, тем больше в нем содержание воды. Содержание воды в разных тканях неодинаково. В соединительной и опорной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тканях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ее меньше, чем в печени, селезенке, где она составляет 70—80% (см. таблицу Водный обмен </w:t>
      </w:r>
      <w:r w:rsidRPr="007B4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880110</wp:posOffset>
            </wp:positionV>
            <wp:extent cx="5829300" cy="2714625"/>
            <wp:effectExtent l="19050" t="0" r="0" b="0"/>
            <wp:wrapThrough wrapText="bothSides">
              <wp:wrapPolygon edited="0">
                <wp:start x="-71" y="0"/>
                <wp:lineTo x="-71" y="21524"/>
                <wp:lineTo x="21600" y="21524"/>
                <wp:lineTo x="21600" y="0"/>
                <wp:lineTo x="-71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12" t="37275" r="22074" b="2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DFA">
        <w:rPr>
          <w:rFonts w:ascii="Times New Roman" w:hAnsi="Times New Roman" w:cs="Times New Roman"/>
          <w:sz w:val="24"/>
          <w:szCs w:val="24"/>
        </w:rPr>
        <w:t>человека).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Вода поступает в организм в виде жидкости (48%) и в составе плотной пищи (40%), остальные 12% образуются в процессе метаболизма пищевых веществ.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Поскольку у женщин больше жира в массе тела, у них и воды почти на 10% меньше, чем у мужчин. Организм худощавого человека содержит до 73% воды, которая считается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очень константной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. Эту воду принято делить на внутриклеточную жидкость и внеклеточную. Внутриклеточная жидкость составляет 40%, внеклеточная — 20% массы тела. 15% внеклеточной жидкости приходится на лимфу, синовиальную, спинномозговую жидкость и жидкость серозных оболочек. На долю внутрисосудистой жидкости приходится 5% воды. Она содержит воду плазмы и подвижную воду эритроцитов,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взаимообменивающуюся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с водой плазмы. При обезвоживании (дегидратации) эритроциты теряют часть воды, а при избытке воды в плазме забирают некоторое ее количество. При дегидратации происходит сгущение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крови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 и возникают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микротромбы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Поэтому опасно ограничивать себя в приеме жидкости при посещении сауны (бани), при тренировках (особенно во время соревнований) в жарком и влажном климате.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Определение объемов жидкости в составе тела чрезвычайно важно для спортсмена. Измерение (определение) общей массы воды осуществляется радиоизотопным методом (тритий, бром82 и другие радиоизотопы). Общее содержание воды можно определить по формуле E.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Osserman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. (1950):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% общей воды = 100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(4,340 — 3,983/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>)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— удельный вес тела.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Osserman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. (1950) отметил, что в организме здоровых мужчин в возрасте от 18 до 46 лет содержится 71,8% воды. E.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Mellits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A.D.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Cheek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(1970) предложили уравнение для расчета количества воды и жира в организме на основании антропометрических данных. Они обследовали людей в возрасте от 1 года до 34 лет и установили линейную зависимость содержания воды (в л) в организме от массы тела (в </w:t>
      </w:r>
      <w:proofErr w:type="gramStart"/>
      <w:r w:rsidRPr="007B4D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B4DF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для мужчин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lastRenderedPageBreak/>
        <w:t xml:space="preserve">общее содержание воды = 1,065+0,603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тела);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для женщин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общее содержание воды = 1,874+0,493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тела).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получения более точных данных авторы рекомендуют использовать уравнения, включающие массу тела и рост: 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мужчин, рост которых больше 132,7 см, общее содержание воды = -21,993+ 0,406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тела)+0,209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(рост);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если рост человека меньше 132,7 см, то общее содержание воды в его теле = -1,927+0,465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тела)+ 0,045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(рост).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для женщин, рост которых больше 110,8 см, общее содержание воды = -10,313+ 0,252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тела)+0,154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(рост);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 xml:space="preserve">если рост меньше 110,8 см, общее содержание воды = 0,076+0,507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(масса тела)+0,013 </w:t>
      </w:r>
      <w:proofErr w:type="spellStart"/>
      <w:r w:rsidRPr="007B4D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DFA">
        <w:rPr>
          <w:rFonts w:ascii="Times New Roman" w:hAnsi="Times New Roman" w:cs="Times New Roman"/>
          <w:sz w:val="24"/>
          <w:szCs w:val="24"/>
        </w:rPr>
        <w:t xml:space="preserve"> (рост).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Формулы определения содержания воды в массе тела также представлены на сайте http://www.medcalc.com/tbw.html</w:t>
      </w:r>
    </w:p>
    <w:p w:rsidR="007B4DFA" w:rsidRPr="007B4DFA" w:rsidRDefault="007B4DFA" w:rsidP="007B4DFA">
      <w:pPr>
        <w:jc w:val="both"/>
        <w:rPr>
          <w:rFonts w:ascii="Times New Roman" w:hAnsi="Times New Roman" w:cs="Times New Roman"/>
          <w:sz w:val="24"/>
          <w:szCs w:val="24"/>
        </w:rPr>
      </w:pPr>
      <w:r w:rsidRPr="007B4DFA">
        <w:rPr>
          <w:rFonts w:ascii="Times New Roman" w:hAnsi="Times New Roman" w:cs="Times New Roman"/>
          <w:sz w:val="24"/>
          <w:szCs w:val="24"/>
        </w:rPr>
        <w:t>Таким образом, исследования с измерением различных антропометрических показателей у лиц, занимающихся физкультурой и спортом, позволяют контролировать рост и развитие их физической работоспособности. С точки зрения здоровья особое значение имеет оценка состояния мускулатуры и осанки.</w:t>
      </w:r>
    </w:p>
    <w:sectPr w:rsidR="007B4DFA" w:rsidRPr="007B4DFA" w:rsidSect="007B4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2BE"/>
    <w:rsid w:val="005772BE"/>
    <w:rsid w:val="0078788F"/>
    <w:rsid w:val="007B4DFA"/>
    <w:rsid w:val="00D112BE"/>
    <w:rsid w:val="00D71A90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2014-05-04T05:59:00Z</dcterms:created>
  <dcterms:modified xsi:type="dcterms:W3CDTF">2014-05-04T06:24:00Z</dcterms:modified>
</cp:coreProperties>
</file>